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6AEA" w14:textId="689B348A" w:rsidR="00A35A76" w:rsidRPr="00D376C5" w:rsidRDefault="00A35A76" w:rsidP="00A35A76">
      <w:pPr>
        <w:pStyle w:val="3GPPHeader"/>
        <w:spacing w:after="60"/>
        <w:rPr>
          <w:bCs/>
          <w:sz w:val="22"/>
        </w:rPr>
      </w:pPr>
      <w:r w:rsidRPr="00D376C5">
        <w:rPr>
          <w:bCs/>
          <w:sz w:val="22"/>
        </w:rPr>
        <w:t xml:space="preserve">3GPP TSG RAN WG1 #90                                       </w:t>
      </w:r>
      <w:r w:rsidRPr="00D376C5">
        <w:rPr>
          <w:bCs/>
          <w:sz w:val="22"/>
        </w:rPr>
        <w:tab/>
      </w:r>
      <w:r w:rsidR="00C73E87" w:rsidRPr="00C73E87">
        <w:rPr>
          <w:bCs/>
          <w:sz w:val="22"/>
        </w:rPr>
        <w:t>R1-1714445</w:t>
      </w:r>
      <w:bookmarkStart w:id="0" w:name="_GoBack"/>
      <w:bookmarkEnd w:id="0"/>
    </w:p>
    <w:p w14:paraId="48435B8A" w14:textId="77777777" w:rsidR="00A35A76" w:rsidRPr="00D376C5" w:rsidRDefault="00A35A76" w:rsidP="00A35A76">
      <w:pPr>
        <w:pStyle w:val="3GPPHeader"/>
        <w:rPr>
          <w:sz w:val="22"/>
          <w:lang w:val="en-US"/>
        </w:rPr>
      </w:pPr>
      <w:r w:rsidRPr="00D376C5">
        <w:rPr>
          <w:bCs/>
          <w:sz w:val="22"/>
        </w:rPr>
        <w:t>Prague, Czech Republic, 21-25 August 2017</w:t>
      </w:r>
    </w:p>
    <w:p w14:paraId="5B1B9060" w14:textId="636543ED" w:rsidR="00A35A76" w:rsidRPr="007B78FE" w:rsidRDefault="00A35A76" w:rsidP="00A35A76">
      <w:pPr>
        <w:pStyle w:val="3GPPHeader"/>
        <w:rPr>
          <w:sz w:val="22"/>
          <w:szCs w:val="22"/>
          <w:lang w:val="en-US"/>
        </w:rPr>
      </w:pPr>
      <w:r w:rsidRPr="007B78FE">
        <w:rPr>
          <w:sz w:val="22"/>
          <w:szCs w:val="22"/>
          <w:lang w:val="en-US"/>
        </w:rPr>
        <w:t>Agenda Item:</w:t>
      </w:r>
      <w:r w:rsidRPr="007B78FE">
        <w:rPr>
          <w:sz w:val="22"/>
          <w:szCs w:val="22"/>
          <w:lang w:val="en-US"/>
        </w:rPr>
        <w:tab/>
      </w:r>
      <w:r>
        <w:rPr>
          <w:sz w:val="22"/>
          <w:szCs w:val="22"/>
          <w:lang w:val="en-US"/>
        </w:rPr>
        <w:t>6</w:t>
      </w:r>
      <w:r w:rsidRPr="0067626C">
        <w:rPr>
          <w:sz w:val="22"/>
          <w:szCs w:val="22"/>
          <w:lang w:val="en-US"/>
        </w:rPr>
        <w:t>.1.3.3.</w:t>
      </w:r>
      <w:r>
        <w:rPr>
          <w:sz w:val="22"/>
          <w:szCs w:val="22"/>
          <w:lang w:val="en-US"/>
        </w:rPr>
        <w:t>7.2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148960F9"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707D2">
        <w:rPr>
          <w:sz w:val="22"/>
          <w:szCs w:val="22"/>
          <w:lang w:val="en-US"/>
        </w:rPr>
        <w:t xml:space="preserve">On </w:t>
      </w:r>
      <w:r w:rsidR="00AF4BAC">
        <w:rPr>
          <w:sz w:val="22"/>
          <w:szCs w:val="22"/>
          <w:lang w:val="en-US"/>
        </w:rPr>
        <w:t>Pre-emption I</w:t>
      </w:r>
      <w:r w:rsidR="003707D2" w:rsidRPr="003707D2">
        <w:rPr>
          <w:sz w:val="22"/>
          <w:szCs w:val="22"/>
          <w:lang w:val="en-US"/>
        </w:rPr>
        <w:t xml:space="preserve">ndication for </w:t>
      </w:r>
      <w:r w:rsidR="00AF4BAC">
        <w:rPr>
          <w:sz w:val="22"/>
          <w:szCs w:val="22"/>
          <w:lang w:val="en-US"/>
        </w:rPr>
        <w:t>U</w:t>
      </w:r>
      <w:r w:rsidR="00C9762F">
        <w:rPr>
          <w:sz w:val="22"/>
          <w:szCs w:val="22"/>
          <w:lang w:val="en-US"/>
        </w:rPr>
        <w:t>plink</w:t>
      </w:r>
    </w:p>
    <w:p w14:paraId="59D6E79C" w14:textId="679E2A80"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51B22030" w14:textId="6B00C43E" w:rsidR="003707D2" w:rsidRPr="003C217D" w:rsidRDefault="003C217D" w:rsidP="003C217D">
      <w:pPr>
        <w:pStyle w:val="BodyText"/>
        <w:rPr>
          <w:rFonts w:cs="Arial"/>
        </w:rPr>
      </w:pPr>
      <w:r>
        <w:rPr>
          <w:rFonts w:cs="Arial"/>
        </w:rPr>
        <w:t>For the discussion on UL pre-emption indications there has not been any agreements in RAN1 and very limited discussions. In this contribution, we provide our updated views on this specific topic</w:t>
      </w: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23AA9AA7" w14:textId="426381C2" w:rsidR="00704B82" w:rsidRDefault="00A86C38" w:rsidP="00DE1D90">
      <w:r>
        <w:t xml:space="preserve">For UL pre-emption, there are mainly two cases discussed. The first case </w:t>
      </w:r>
      <w:r w:rsidR="00FA347D">
        <w:t xml:space="preserve">is that </w:t>
      </w:r>
      <w:r>
        <w:t>the gNB has granted a transmission with a dynamic grant for which the UE has either started to transmit or the UE has not yet started to transmit and after this the gNB decide to send a second grant that is supposed to override the first grant alternatively just stop the ongoing transmission. That this case would happen to start with assumes that the gNB has received an updated BSR from the UE after scheduling the first grant and at the sametime being able to process the aspects for the second grant. Assuming that the time for processing between the UL grant is received and the PUSCH is transmitted from the UE</w:t>
      </w:r>
      <w:r w:rsidR="00FA347D">
        <w:t xml:space="preserve"> is very short</w:t>
      </w:r>
      <w:r>
        <w:t xml:space="preserve">. This </w:t>
      </w:r>
      <w:r w:rsidR="00FA347D">
        <w:t>is</w:t>
      </w:r>
      <w:r>
        <w:t xml:space="preserve"> </w:t>
      </w:r>
      <w:r w:rsidR="00FA347D">
        <w:t>a</w:t>
      </w:r>
      <w:r>
        <w:t xml:space="preserve"> not so likely scenario to occur and consequently no </w:t>
      </w:r>
      <w:r w:rsidR="00FA347D">
        <w:t>support</w:t>
      </w:r>
      <w:r>
        <w:t xml:space="preserve"> is needed for it. </w:t>
      </w:r>
    </w:p>
    <w:p w14:paraId="7EC56D10" w14:textId="2B8E4D9A" w:rsidR="00FA347D" w:rsidRPr="00FA347D" w:rsidRDefault="00FA347D" w:rsidP="00DE1D90">
      <w:pPr>
        <w:rPr>
          <w:b/>
        </w:rPr>
      </w:pPr>
      <w:r w:rsidRPr="00FA347D">
        <w:rPr>
          <w:b/>
        </w:rPr>
        <w:t>Proposal</w:t>
      </w:r>
    </w:p>
    <w:p w14:paraId="69414AD7" w14:textId="70487ACF" w:rsidR="00FA347D" w:rsidRPr="00FA347D" w:rsidRDefault="00FA347D" w:rsidP="00FA347D">
      <w:pPr>
        <w:pStyle w:val="ListParagraph"/>
        <w:numPr>
          <w:ilvl w:val="0"/>
          <w:numId w:val="48"/>
        </w:numPr>
        <w:rPr>
          <w:rFonts w:ascii="Arial" w:hAnsi="Arial" w:cs="Arial"/>
          <w:i/>
        </w:rPr>
      </w:pPr>
      <w:r w:rsidRPr="00FA347D">
        <w:rPr>
          <w:rFonts w:ascii="Arial" w:hAnsi="Arial" w:cs="Arial"/>
          <w:i/>
        </w:rPr>
        <w:t>No UL pre-emption technic is specified for a dynamic scheduled UL transmission</w:t>
      </w:r>
    </w:p>
    <w:p w14:paraId="273B1B02" w14:textId="77777777" w:rsidR="00FA347D" w:rsidRDefault="00FA347D" w:rsidP="00FA347D">
      <w:pPr>
        <w:pStyle w:val="ListParagraph"/>
      </w:pPr>
    </w:p>
    <w:p w14:paraId="1C50994A" w14:textId="0DEB47F3" w:rsidR="00A86C38" w:rsidRDefault="00A86C38" w:rsidP="00DE1D90">
      <w:r>
        <w:t xml:space="preserve">The second case is that the UE has </w:t>
      </w:r>
      <w:r w:rsidR="00FA347D">
        <w:t>a</w:t>
      </w:r>
      <w:r>
        <w:t xml:space="preserve"> grant for an grant free/SPS resource in a given slot and is scheduled with an dynamic grant that overlaps in time. There </w:t>
      </w:r>
      <w:r w:rsidR="00FA347D">
        <w:t>is the</w:t>
      </w:r>
      <w:r>
        <w:t xml:space="preserve"> </w:t>
      </w:r>
      <w:r w:rsidR="00FA347D">
        <w:t xml:space="preserve">case when the granted grant free/SPS resource is of a shorter time interval then the dynamic scheduled grant. </w:t>
      </w:r>
      <w:r>
        <w:t xml:space="preserve">For this case it is important to note that the dynamic grant is the latest order from the gNB and the gNB decision todo and consequently the UE should follow it. </w:t>
      </w:r>
      <w:r w:rsidR="00FA347D">
        <w:t>For the particular example we gave it is important to note that the gNB has the choice to schedule a dynamic grant that is of equal length in time as the granted grant free/SPS resource and therefor it would be possible to always follow the dynamic UL grant. Of course the gNB could choose also not todo so but it has then also to take the consequence of that action as well. Consequently, the behaviour that is needed to be specified is that the dynamic grant has higher priority than the granted grant free/SPS resource, which is the behaviour used in LTE.</w:t>
      </w:r>
    </w:p>
    <w:p w14:paraId="160C2431" w14:textId="1162E5E9" w:rsidR="00FA347D" w:rsidRDefault="00FA347D" w:rsidP="00DE1D90">
      <w:pPr>
        <w:rPr>
          <w:b/>
        </w:rPr>
      </w:pPr>
      <w:r w:rsidRPr="00FA347D">
        <w:rPr>
          <w:b/>
        </w:rPr>
        <w:t>Proposal</w:t>
      </w:r>
    </w:p>
    <w:p w14:paraId="1A1AD8CA" w14:textId="03787500" w:rsidR="00FA347D" w:rsidRPr="007061D7" w:rsidRDefault="007061D7" w:rsidP="00FA347D">
      <w:pPr>
        <w:pStyle w:val="ListParagraph"/>
        <w:numPr>
          <w:ilvl w:val="0"/>
          <w:numId w:val="48"/>
        </w:numPr>
        <w:rPr>
          <w:rFonts w:ascii="Arial" w:hAnsi="Arial" w:cs="Arial"/>
          <w:i/>
        </w:rPr>
      </w:pPr>
      <w:r>
        <w:rPr>
          <w:rFonts w:ascii="Arial" w:hAnsi="Arial" w:cs="Arial"/>
          <w:i/>
        </w:rPr>
        <w:t>The behavior from LTE is adopted, i.e. a</w:t>
      </w:r>
      <w:r w:rsidR="00FA347D" w:rsidRPr="007061D7">
        <w:rPr>
          <w:rFonts w:ascii="Arial" w:hAnsi="Arial" w:cs="Arial"/>
          <w:i/>
        </w:rPr>
        <w:t xml:space="preserve"> dynamic UL grant overrides </w:t>
      </w:r>
      <w:r w:rsidRPr="007061D7">
        <w:rPr>
          <w:rFonts w:ascii="Arial" w:hAnsi="Arial" w:cs="Arial"/>
          <w:i/>
        </w:rPr>
        <w:t>a</w:t>
      </w:r>
      <w:r w:rsidR="00FA347D" w:rsidRPr="007061D7">
        <w:rPr>
          <w:rFonts w:ascii="Arial" w:hAnsi="Arial" w:cs="Arial"/>
          <w:i/>
        </w:rPr>
        <w:t xml:space="preserve"> granted </w:t>
      </w:r>
      <w:r w:rsidRPr="007061D7">
        <w:rPr>
          <w:rFonts w:ascii="Arial" w:hAnsi="Arial" w:cs="Arial"/>
          <w:i/>
        </w:rPr>
        <w:t xml:space="preserve">grant free/SPS resource if the corresponding </w:t>
      </w:r>
      <w:r>
        <w:rPr>
          <w:rFonts w:ascii="Arial" w:hAnsi="Arial" w:cs="Arial"/>
          <w:i/>
        </w:rPr>
        <w:t xml:space="preserve">PUSCH </w:t>
      </w:r>
      <w:r w:rsidRPr="007061D7">
        <w:rPr>
          <w:rFonts w:ascii="Arial" w:hAnsi="Arial" w:cs="Arial"/>
          <w:i/>
        </w:rPr>
        <w:t>transmission overlaps in time</w:t>
      </w:r>
    </w:p>
    <w:p w14:paraId="2C1B6BD4" w14:textId="77777777" w:rsidR="00C01F33" w:rsidRPr="007B78FE" w:rsidRDefault="00C01F33" w:rsidP="00CE0424">
      <w:pPr>
        <w:pStyle w:val="Heading1"/>
        <w:rPr>
          <w:lang w:val="en-US"/>
        </w:rPr>
      </w:pPr>
      <w:r w:rsidRPr="007B78FE">
        <w:rPr>
          <w:lang w:val="en-US"/>
        </w:rPr>
        <w:t>Conclusion</w:t>
      </w:r>
    </w:p>
    <w:p w14:paraId="4F89E55D" w14:textId="1752BFDC" w:rsidR="003707D2" w:rsidRDefault="008F47B9" w:rsidP="00C9762F">
      <w:pPr>
        <w:rPr>
          <w:bCs/>
          <w:lang w:val="en-US"/>
        </w:rPr>
      </w:pPr>
      <w:r>
        <w:rPr>
          <w:bCs/>
          <w:lang w:val="en-US"/>
        </w:rPr>
        <w:t xml:space="preserve">In this contribution, we discuss </w:t>
      </w:r>
      <w:r w:rsidR="00C9762F">
        <w:rPr>
          <w:bCs/>
          <w:lang w:val="en-US"/>
        </w:rPr>
        <w:t>U</w:t>
      </w:r>
      <w:r w:rsidR="003707D2">
        <w:rPr>
          <w:bCs/>
          <w:lang w:val="en-US"/>
        </w:rPr>
        <w:t>L pre-emption indicator and based on the discu</w:t>
      </w:r>
      <w:r w:rsidR="003C217D">
        <w:rPr>
          <w:bCs/>
          <w:lang w:val="en-US"/>
        </w:rPr>
        <w:t>ssion we propose the following:</w:t>
      </w:r>
    </w:p>
    <w:p w14:paraId="7305E5AD" w14:textId="77777777" w:rsidR="007061D7" w:rsidRPr="007061D7" w:rsidRDefault="007061D7" w:rsidP="007061D7">
      <w:pPr>
        <w:pStyle w:val="ListParagraph"/>
        <w:numPr>
          <w:ilvl w:val="0"/>
          <w:numId w:val="48"/>
        </w:numPr>
        <w:rPr>
          <w:rFonts w:ascii="Arial" w:hAnsi="Arial" w:cs="Arial"/>
        </w:rPr>
      </w:pPr>
      <w:r w:rsidRPr="007061D7">
        <w:rPr>
          <w:rFonts w:ascii="Arial" w:hAnsi="Arial" w:cs="Arial"/>
        </w:rPr>
        <w:t>No UL pre-emption technic is specified for a dynamic scheduled UL transmission</w:t>
      </w:r>
    </w:p>
    <w:p w14:paraId="24D7B906" w14:textId="66EDE6A7" w:rsidR="003C217D" w:rsidRPr="007061D7" w:rsidRDefault="007061D7" w:rsidP="003C217D">
      <w:pPr>
        <w:pStyle w:val="ListParagraph"/>
        <w:numPr>
          <w:ilvl w:val="0"/>
          <w:numId w:val="48"/>
        </w:numPr>
        <w:rPr>
          <w:rFonts w:ascii="Arial" w:hAnsi="Arial" w:cs="Arial"/>
        </w:rPr>
      </w:pPr>
      <w:r w:rsidRPr="007061D7">
        <w:rPr>
          <w:rFonts w:ascii="Arial" w:hAnsi="Arial" w:cs="Arial"/>
        </w:rPr>
        <w:t>The behavior from LTE is adopted, i.e. a dynamic UL grant overrides a granted grant free/SPS resource if the corresponding PUSCH transmission overlaps in time</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lastRenderedPageBreak/>
        <w:t>References</w:t>
      </w:r>
    </w:p>
    <w:p w14:paraId="3618435D" w14:textId="1C8ED89D" w:rsidR="00221CBF" w:rsidRDefault="00221CBF" w:rsidP="00221CBF">
      <w:pPr>
        <w:pStyle w:val="Reference"/>
        <w:rPr>
          <w:lang w:val="en-US"/>
        </w:rPr>
      </w:pPr>
      <w:bookmarkStart w:id="3" w:name="_Ref473934775"/>
      <w:bookmarkStart w:id="4" w:name="_Ref481744756"/>
      <w:bookmarkStart w:id="5" w:name="_Ref174151459"/>
      <w:bookmarkStart w:id="6" w:name="_Ref189809556"/>
      <w:r w:rsidRPr="007B78FE">
        <w:rPr>
          <w:lang w:val="en-US"/>
        </w:rPr>
        <w:t>Chairman’s Notes, 3GPP TSG RAN WG1 Meeting#8</w:t>
      </w:r>
      <w:bookmarkEnd w:id="3"/>
      <w:bookmarkEnd w:id="4"/>
      <w:r w:rsidR="00ED2A30">
        <w:rPr>
          <w:lang w:val="en-US"/>
        </w:rPr>
        <w:t>9</w:t>
      </w:r>
      <w:r w:rsidRPr="007B78FE">
        <w:rPr>
          <w:lang w:val="en-US"/>
        </w:rPr>
        <w:t xml:space="preserve"> </w:t>
      </w:r>
      <w:bookmarkEnd w:id="5"/>
      <w:bookmarkEnd w:id="6"/>
    </w:p>
    <w:sectPr w:rsidR="00221CB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9B73B" w14:textId="77777777" w:rsidR="00BE5AFC" w:rsidRDefault="00BE5AFC">
      <w:r>
        <w:separator/>
      </w:r>
    </w:p>
  </w:endnote>
  <w:endnote w:type="continuationSeparator" w:id="0">
    <w:p w14:paraId="36DD5055" w14:textId="77777777" w:rsidR="00BE5AFC" w:rsidRDefault="00BE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74B42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3E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3E8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A9431" w14:textId="77777777" w:rsidR="00BE5AFC" w:rsidRDefault="00BE5AFC">
      <w:r>
        <w:separator/>
      </w:r>
    </w:p>
  </w:footnote>
  <w:footnote w:type="continuationSeparator" w:id="0">
    <w:p w14:paraId="65C0F234" w14:textId="77777777" w:rsidR="00BE5AFC" w:rsidRDefault="00BE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30FF8"/>
    <w:multiLevelType w:val="hybridMultilevel"/>
    <w:tmpl w:val="997A8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2" w15:restartNumberingAfterBreak="0">
    <w:nsid w:val="6B932A4B"/>
    <w:multiLevelType w:val="hybridMultilevel"/>
    <w:tmpl w:val="4F5C1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8B16B8"/>
    <w:multiLevelType w:val="hybridMultilevel"/>
    <w:tmpl w:val="FF8673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20"/>
  </w:num>
  <w:num w:numId="4">
    <w:abstractNumId w:val="21"/>
  </w:num>
  <w:num w:numId="5">
    <w:abstractNumId w:val="18"/>
  </w:num>
  <w:num w:numId="6">
    <w:abstractNumId w:val="25"/>
  </w:num>
  <w:num w:numId="7">
    <w:abstractNumId w:val="31"/>
  </w:num>
  <w:num w:numId="8">
    <w:abstractNumId w:val="19"/>
  </w:num>
  <w:num w:numId="9">
    <w:abstractNumId w:val="17"/>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7"/>
  </w:num>
  <w:num w:numId="18">
    <w:abstractNumId w:val="14"/>
  </w:num>
  <w:num w:numId="19">
    <w:abstractNumId w:val="9"/>
  </w:num>
  <w:num w:numId="20">
    <w:abstractNumId w:val="16"/>
  </w:num>
  <w:num w:numId="21">
    <w:abstractNumId w:val="43"/>
  </w:num>
  <w:num w:numId="22">
    <w:abstractNumId w:val="11"/>
  </w:num>
  <w:num w:numId="23">
    <w:abstractNumId w:val="5"/>
  </w:num>
  <w:num w:numId="24">
    <w:abstractNumId w:val="22"/>
  </w:num>
  <w:num w:numId="25">
    <w:abstractNumId w:val="33"/>
  </w:num>
  <w:num w:numId="26">
    <w:abstractNumId w:val="36"/>
  </w:num>
  <w:num w:numId="27">
    <w:abstractNumId w:val="24"/>
  </w:num>
  <w:num w:numId="28">
    <w:abstractNumId w:val="15"/>
  </w:num>
  <w:num w:numId="29">
    <w:abstractNumId w:val="38"/>
  </w:num>
  <w:num w:numId="30">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4"/>
  </w:num>
  <w:num w:numId="33">
    <w:abstractNumId w:val="46"/>
  </w:num>
  <w:num w:numId="34">
    <w:abstractNumId w:val="27"/>
  </w:num>
  <w:num w:numId="35">
    <w:abstractNumId w:val="10"/>
  </w:num>
  <w:num w:numId="36">
    <w:abstractNumId w:val="8"/>
  </w:num>
  <w:num w:numId="37">
    <w:abstractNumId w:val="45"/>
  </w:num>
  <w:num w:numId="38">
    <w:abstractNumId w:val="26"/>
  </w:num>
  <w:num w:numId="39">
    <w:abstractNumId w:val="6"/>
  </w:num>
  <w:num w:numId="40">
    <w:abstractNumId w:val="32"/>
  </w:num>
  <w:num w:numId="41">
    <w:abstractNumId w:val="29"/>
  </w:num>
  <w:num w:numId="42">
    <w:abstractNumId w:val="35"/>
  </w:num>
  <w:num w:numId="43">
    <w:abstractNumId w:val="44"/>
  </w:num>
  <w:num w:numId="44">
    <w:abstractNumId w:val="12"/>
  </w:num>
  <w:num w:numId="45">
    <w:abstractNumId w:val="23"/>
  </w:num>
  <w:num w:numId="46">
    <w:abstractNumId w:val="13"/>
  </w:num>
  <w:num w:numId="47">
    <w:abstractNumId w:val="39"/>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42AC"/>
    <w:rsid w:val="00376C6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17D"/>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3C1"/>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4E19"/>
    <w:rsid w:val="0056121F"/>
    <w:rsid w:val="00571CA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1D7"/>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A76"/>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86C38"/>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AF4BAC"/>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5AFC"/>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70697"/>
    <w:rsid w:val="00C72EF4"/>
    <w:rsid w:val="00C73E87"/>
    <w:rsid w:val="00C75D2F"/>
    <w:rsid w:val="00C767BE"/>
    <w:rsid w:val="00C76E3C"/>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1D90"/>
    <w:rsid w:val="00DE402A"/>
    <w:rsid w:val="00DE5608"/>
    <w:rsid w:val="00DE58D0"/>
    <w:rsid w:val="00DE654F"/>
    <w:rsid w:val="00DF06C1"/>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347D"/>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6728CE7E-E0BA-4565-AC5C-BD78560FE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716</TotalTime>
  <Pages>2</Pages>
  <Words>465</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2926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108</cp:revision>
  <cp:lastPrinted>2008-01-31T16:09:00Z</cp:lastPrinted>
  <dcterms:created xsi:type="dcterms:W3CDTF">2017-02-07T17:47:00Z</dcterms:created>
  <dcterms:modified xsi:type="dcterms:W3CDTF">2017-08-11T17:09:00Z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